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B1A" w:rsidRPr="00FA28E4" w:rsidRDefault="00250B55" w:rsidP="006B4B1A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A28E4">
        <w:rPr>
          <w:rFonts w:asciiTheme="minorHAnsi" w:hAnsiTheme="minorHAnsi" w:cstheme="minorHAnsi"/>
          <w:sz w:val="20"/>
          <w:szCs w:val="20"/>
        </w:rPr>
        <w:t>Załącznik nr 1</w:t>
      </w:r>
    </w:p>
    <w:p w:rsidR="006B4B1A" w:rsidRPr="00FA28E4" w:rsidRDefault="006B4B1A" w:rsidP="006B4B1A">
      <w:pPr>
        <w:spacing w:after="0" w:line="240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A28E4" w:rsidRPr="00B01A5B" w:rsidRDefault="006B4B1A" w:rsidP="00B01A5B">
      <w:pPr>
        <w:spacing w:after="0" w:line="240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28E4">
        <w:rPr>
          <w:rFonts w:asciiTheme="minorHAnsi" w:hAnsiTheme="minorHAnsi" w:cstheme="minorHAnsi"/>
          <w:b/>
          <w:sz w:val="20"/>
          <w:szCs w:val="20"/>
        </w:rPr>
        <w:t>Szczegółowy Opis Przedmiotu Zamówienia - Specyfikacje Techniczne</w:t>
      </w:r>
    </w:p>
    <w:p w:rsidR="00FA28E4" w:rsidRPr="00FA28E4" w:rsidRDefault="00FA28E4" w:rsidP="00FA28E4">
      <w:pPr>
        <w:pStyle w:val="Akapitzlist"/>
        <w:numPr>
          <w:ilvl w:val="0"/>
          <w:numId w:val="44"/>
        </w:numPr>
        <w:spacing w:after="0"/>
        <w:rPr>
          <w:rFonts w:cstheme="minorHAnsi"/>
          <w:b/>
          <w:sz w:val="20"/>
        </w:rPr>
      </w:pPr>
      <w:r w:rsidRPr="00FA28E4">
        <w:rPr>
          <w:rFonts w:cstheme="minorHAnsi"/>
          <w:b/>
          <w:sz w:val="20"/>
        </w:rPr>
        <w:t>Drukarka kodów kreskowych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cstheme="minorHAnsi"/>
                <w:sz w:val="20"/>
                <w:szCs w:val="20"/>
              </w:rPr>
              <w:t>Nazwa komponentu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cstheme="minorHAnsi"/>
                <w:sz w:val="20"/>
                <w:szCs w:val="20"/>
              </w:rPr>
              <w:t>Wymagane minimalne parametry techniczne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Prędkość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5 ips/ 127 mm/s.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32 bity;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8 GB;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Flash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4 MB;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1 x RS-232, 1 x USB,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Czcionki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20 szt., rozszerzalne, bitmapowe, zdefiniowane przez użytkownika, w tym logo;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Rozdzielczość druku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200 dpi;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Plamka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Maksymalnie 1,125 mm;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Termotransferowy, kody kreskowe, test, grafika;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Długość / szerokość druku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990 / 100 mm;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Obsługiwane nośniki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sz w:val="20"/>
                <w:szCs w:val="20"/>
                <w:lang w:eastAsia="pl-PL"/>
              </w:rPr>
              <w:t>Rolowane, składane, wykrawane, ciągłe etykiety, termiczne, przywieszki, opaski na rękę;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Obsługiwane kody kreskowe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A28E4">
              <w:rPr>
                <w:rFonts w:cstheme="minorHAnsi"/>
                <w:sz w:val="20"/>
                <w:szCs w:val="20"/>
              </w:rPr>
              <w:t>11, 39, 93, 128, UPC-A, UPC-E, EAN-8, EAN-13, EAN-14, UPC-A, UPC-E z rozszerzenie 2 lub 5 cyfr, POSTNET, przeplatan, GS1 DataBar, PDF417, MicroPDF-417, 49, Maxicode, Codablock, Data Matrix, QR code;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Konstrukcja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 xml:space="preserve">Całkowicie </w:t>
            </w:r>
            <w:r w:rsidR="00B01A5B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zamknię</w:t>
            </w:r>
            <w:r w:rsidR="00B01A5B"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ta</w:t>
            </w: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 xml:space="preserve"> komorna nośnika, dwuścienna konstrukcja ramowa;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Oprogramowanie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272727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272727"/>
                <w:sz w:val="20"/>
                <w:szCs w:val="20"/>
                <w:lang w:eastAsia="pl-PL"/>
              </w:rPr>
              <w:t>Musi umożliwiać :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</w:pPr>
            <w:r w:rsidRPr="00FA28E4">
              <w:rPr>
                <w:rFonts w:eastAsia="Times New Roman" w:cstheme="minorHAnsi"/>
                <w:color w:val="272727"/>
                <w:sz w:val="20"/>
                <w:szCs w:val="20"/>
              </w:rPr>
              <w:t xml:space="preserve">Umożliwiać tworzenie </w:t>
            </w:r>
            <w:r w:rsidRPr="00FA28E4"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  <w:t xml:space="preserve">etykiet </w:t>
            </w:r>
            <w:r w:rsidR="00B01A5B" w:rsidRPr="00FA28E4"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  <w:t>zgodnych ze</w:t>
            </w:r>
            <w:r w:rsidRPr="00FA28E4"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  <w:t xml:space="preserve"> standardami branżowymi ze stałymi i zmiennymi danymi.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</w:pPr>
            <w:r w:rsidRPr="00FA28E4"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  <w:t>Konfigurację interfejsu użytkownika w jednym z 20 języków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</w:pPr>
            <w:r w:rsidRPr="00FA28E4"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  <w:t>Utworzenie szablonów zawierających tekst, kod kreskowy oraz obiekty graficzne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</w:pPr>
            <w:r w:rsidRPr="00FA28E4"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  <w:t>Wprowadzanie danych za pomocą klawiatury, daty, godziny oraz licznika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</w:pPr>
            <w:r w:rsidRPr="00FA28E4"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  <w:t>Korzystanie z kreatora kodów kreskowych GS1-128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</w:pPr>
            <w:r w:rsidRPr="00FA28E4">
              <w:rPr>
                <w:rFonts w:eastAsia="Times New Roman" w:cstheme="minorHAnsi"/>
                <w:color w:val="333D47"/>
                <w:spacing w:val="6"/>
                <w:sz w:val="20"/>
                <w:szCs w:val="20"/>
              </w:rPr>
              <w:t>Korzystanie ze wstępnie zaprojektowanych szablonów etykiet i tworzenie własnych od postaw;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Umożliwiać zarządzanie sieciowymi serwerami druku;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Ostrzegać o potencjalnych problemach;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Działać w tle lub na pierwszym planie na sieciowej stacji roboczej, aby odbierać zdarzenia z serwerów.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Odbierać pakiety zdarzeń SNMP wysyłane w sieci z serwerów druku. 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Umożliwiać skonfigurowanie tak, aby powiadamiał o nowym zdarzeniu, prezentując alert na pierwszym planie lub odtwarzając dźwięk;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Umożliwiać zapisywanie zdarzeń w dzienniku;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eastAsia="pl-PL"/>
              </w:rPr>
              <w:t>Przechowywanie co najmniej 10 000 zdarzeń.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 xml:space="preserve">Umożliwiać automatyczną lokalizację drukarki przy </w:t>
            </w:r>
            <w:r w:rsidR="00B01A5B"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użyciu, co</w:t>
            </w: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 xml:space="preserve"> najmniej następujących parametrów wyszukiwania: adres IP, podsieć, model drukarki, stan drukarki, inne cechy zdefiniowane przez użytkownika;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Umożliwiać konfigurację wielu alertów o zdarzeniach i typów alertów dostarczanych do poszczególnych osób w oparciu o zdefiniowane role;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Całe wymienione w tym punkcie oprogramowanie musi pochodzić od producenta drukarek;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Środowisko programistyczne umożliwiające testowanie i dystrybucję oprogramowania do drukarek;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</w:pP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 xml:space="preserve">Podłączenie i kontrolę drukarki przez </w:t>
            </w:r>
            <w:r w:rsidR="00B01A5B"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Internet</w:t>
            </w:r>
            <w:r w:rsidRPr="00FA28E4">
              <w:rPr>
                <w:rFonts w:cstheme="minorHAnsi"/>
                <w:color w:val="272727"/>
                <w:sz w:val="20"/>
                <w:szCs w:val="20"/>
                <w:lang w:val="pl-PL" w:eastAsia="pl-PL"/>
              </w:rPr>
              <w:t>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Energy Star – załączyć do oferty;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Zgodność z normami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A28E4">
              <w:rPr>
                <w:rFonts w:cstheme="minorHAnsi"/>
                <w:sz w:val="20"/>
                <w:szCs w:val="20"/>
              </w:rPr>
              <w:t>EN55022 (Klasa B), EN55024, EN61000-3-2, EN61000-3-3, CCC, NOM, BIS;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Język programowania i trybu stronicowania producenta drukarki;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Kontrola energii głowicy drukującej;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lastRenderedPageBreak/>
              <w:t>Licznik śledzenia długości druku;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Zgodność ze standardem Unicode;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Autokalibracja mediów z zapisem do pamięci urządzenia; Programowalna prędkość drukowania;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Inwersja formatu biały na czarny;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Druk lustrzany;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Możliwość obrotu pola;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Możliwość zaprogramowania ilości drukowanych etykiet;</w:t>
            </w:r>
          </w:p>
        </w:tc>
      </w:tr>
      <w:tr w:rsidR="00FA28E4" w:rsidRPr="00FA28E4" w:rsidTr="00FA28E4">
        <w:tc>
          <w:tcPr>
            <w:tcW w:w="2660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lastRenderedPageBreak/>
              <w:t>Gwarancja</w:t>
            </w:r>
          </w:p>
        </w:tc>
        <w:tc>
          <w:tcPr>
            <w:tcW w:w="6402" w:type="dxa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 xml:space="preserve">12 </w:t>
            </w:r>
            <w:r w:rsidR="00B01A5B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miesięcy</w:t>
            </w: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;</w:t>
            </w:r>
          </w:p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 xml:space="preserve">Serwis musi być </w:t>
            </w:r>
            <w:r w:rsidR="00B01A5B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ś</w:t>
            </w:r>
            <w:r w:rsidR="00B01A5B"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wiadczony</w:t>
            </w: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 xml:space="preserve"> zgodnie z normą ISO 27001 – załączyć do oferty certyfikat dla oferenta na świadczenie </w:t>
            </w:r>
            <w:r w:rsidR="00B01A5B"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usł</w:t>
            </w:r>
            <w:r w:rsidR="00B01A5B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u</w:t>
            </w:r>
            <w:r w:rsidR="00B01A5B"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g</w:t>
            </w: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 xml:space="preserve"> serwisowych dla </w:t>
            </w:r>
            <w:r w:rsidR="00B01A5B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rozwią</w:t>
            </w:r>
            <w:r w:rsidR="00B01A5B"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zań</w:t>
            </w: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 xml:space="preserve"> informatycznych;</w:t>
            </w:r>
          </w:p>
        </w:tc>
      </w:tr>
    </w:tbl>
    <w:p w:rsidR="00250B55" w:rsidRPr="00FA28E4" w:rsidRDefault="00250B55" w:rsidP="008F0CE3">
      <w:pPr>
        <w:pStyle w:val="Akapitzlist"/>
        <w:spacing w:before="0" w:after="0"/>
        <w:ind w:left="0"/>
        <w:rPr>
          <w:rFonts w:cstheme="minorHAnsi"/>
          <w:sz w:val="20"/>
          <w:lang w:val="pl-PL"/>
        </w:rPr>
      </w:pPr>
    </w:p>
    <w:p w:rsidR="00250B55" w:rsidRPr="00FA28E4" w:rsidRDefault="00FA28E4" w:rsidP="008F0CE3">
      <w:pPr>
        <w:pStyle w:val="Akapitzlist"/>
        <w:numPr>
          <w:ilvl w:val="0"/>
          <w:numId w:val="21"/>
        </w:numPr>
        <w:spacing w:after="0"/>
        <w:ind w:left="709"/>
        <w:rPr>
          <w:rFonts w:cstheme="minorHAnsi"/>
          <w:b/>
          <w:sz w:val="20"/>
          <w:lang w:val="pl-PL"/>
        </w:rPr>
      </w:pPr>
      <w:r w:rsidRPr="00FA28E4">
        <w:rPr>
          <w:rFonts w:cstheme="minorHAnsi"/>
          <w:b/>
          <w:sz w:val="20"/>
          <w:lang w:val="pl-PL"/>
        </w:rPr>
        <w:t>Skaner dokumentowy – 2 szt.</w:t>
      </w:r>
    </w:p>
    <w:tbl>
      <w:tblPr>
        <w:tblW w:w="4987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18"/>
        <w:gridCol w:w="6672"/>
      </w:tblGrid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A28E4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FA28E4">
              <w:rPr>
                <w:rFonts w:cstheme="minorHAnsi"/>
                <w:b/>
                <w:sz w:val="20"/>
                <w:szCs w:val="20"/>
              </w:rPr>
              <w:t xml:space="preserve">Wymagane minimalne parametry techniczne 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 xml:space="preserve">Typ 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jednoprzebiegowy;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  <w:highlight w:val="yellow"/>
                <w:lang w:val="en-AU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en-AU"/>
              </w:rPr>
              <w:t>Prędkość mono/kolor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sz w:val="20"/>
                <w:szCs w:val="20"/>
                <w:highlight w:val="yellow"/>
                <w:lang w:val="en-AU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en-AU"/>
              </w:rPr>
              <w:t>50 stron/ min.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Obciążenie dzienne zalecena przez producenta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sz w:val="20"/>
                <w:szCs w:val="20"/>
                <w:highlight w:val="yellow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en-AU"/>
              </w:rPr>
              <w:t>6000 stron;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Podajnik papieru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 xml:space="preserve">80 </w:t>
            </w:r>
            <w:r w:rsidR="00B01A5B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B01A5B" w:rsidRPr="00FA28E4">
              <w:rPr>
                <w:rFonts w:cstheme="minorHAnsi"/>
                <w:color w:val="000000"/>
                <w:sz w:val="20"/>
                <w:szCs w:val="20"/>
              </w:rPr>
              <w:t>rkuszy</w:t>
            </w:r>
            <w:r w:rsidRPr="00FA28E4">
              <w:rPr>
                <w:rFonts w:cstheme="minorHAnsi"/>
                <w:color w:val="000000"/>
                <w:sz w:val="20"/>
                <w:szCs w:val="20"/>
              </w:rPr>
              <w:t>, obsługa formatu do A8 włącznie, dowody osobiste, twarde karty;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Musi umożliwiać: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Skanowanie wielu dokumentów (partii);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Obracanie, kadrowanie, usuwanie;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Wstawienie, ponowne skanowanie, zmianę kolejności;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Indeksowanie według pola oraz metodą drag and drop;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Indeksowanie kodów kreskowych;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Obsługę plików z </w:t>
            </w:r>
            <w:r w:rsidR="00B01A5B"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rozszerzeniami</w:t>
            </w:r>
            <w:r w:rsidR="00B01A5B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.</w:t>
            </w:r>
            <w:r w:rsidR="00B01A5B"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png</w:t>
            </w: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i .bmp jako formatów wyjściowych;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Obsługę pozostałych formatów wyjściowych plików: TIFF również wielostronicowy, JPEG również wielostronicowy, PDF również przeszukiwalny, RTF;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Wysyłanie plików wyjściowych na drukarkę lub adres e-mail;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Skanowanie bezpośrednie do aplikacji MS Word oraz, Adobe Acrobat Reader;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Integrację przez CLI;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Zachowywanie zadań;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lang w:val="pl-PL"/>
              </w:rPr>
              <w:t>Oprogramowanie producenta skanera;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Porty 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USB 3.1;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Formaty wyjściowe plików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28E4">
              <w:rPr>
                <w:rFonts w:cstheme="minorHAnsi"/>
                <w:color w:val="212121"/>
                <w:sz w:val="20"/>
                <w:szCs w:val="20"/>
              </w:rPr>
              <w:t>Jedno i wielostronicowy TIFF, JPEG, RTF, BMP, PDF, przeszukiwalny PDF, TXT, PNG, CSV, Word i Excel;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Rozdzielczość optyczna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600 dpi;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Rozdzielczość wyjściowa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  <w:highlight w:val="yellow"/>
                <w:lang w:val="en-AU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1200 dpi;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</w:rPr>
              <w:t>Funkcje przetwarzania obrazu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Odczyt kodów kreskowych;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Prostowanie, 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Automatyczne przycinanie, 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Dodawanie i usuwanie obramowania;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Skanowanie dwustrumieniowe;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Zarządzanie kolorami;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Regulacja jasności i kontrastu; 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Automatyczna orientacja;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Automatyczne wykrywanie i wygładzanie koloru tła;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Wypełnienie krawędzi obrazu; 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Łączenie obrazów;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Wykrywanie pustych stron na podstawie zawartości;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Filtrowanie smug i ostrości; 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Automatyczna jasność i balans bieli; 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Skanowanie dokumentów do 3000 mm, Segmentacja obrazu; 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Automatyczne przycinanie zdjęć;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Podział obrazu;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Stemplowanie cyfrowe;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A28E4">
              <w:rPr>
                <w:rFonts w:cstheme="minorHAnsi"/>
                <w:bCs/>
                <w:sz w:val="20"/>
                <w:szCs w:val="20"/>
              </w:rPr>
              <w:lastRenderedPageBreak/>
              <w:t>Pobór prądu podczas pracy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A28E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Maksymalnie 40 W;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bCs/>
                <w:sz w:val="20"/>
                <w:szCs w:val="20"/>
              </w:rPr>
              <w:t>Zgodność z normami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FA28E4">
              <w:rPr>
                <w:rFonts w:cstheme="minorHAnsi"/>
                <w:color w:val="212121"/>
                <w:sz w:val="20"/>
                <w:szCs w:val="20"/>
                <w:lang w:val="en-AU"/>
              </w:rPr>
              <w:t>EN55032, EN55024, EN60950-1, IEC60950-1:2005, UL 60950-1;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bCs/>
                <w:sz w:val="20"/>
                <w:szCs w:val="20"/>
              </w:rPr>
              <w:t xml:space="preserve">Wymagania dodatkowe 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bCs/>
                <w:sz w:val="20"/>
                <w:szCs w:val="20"/>
              </w:rPr>
              <w:t>Technologia wyrównywania krawędzi;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bCs/>
                <w:sz w:val="20"/>
                <w:szCs w:val="20"/>
              </w:rPr>
              <w:t>Funkcja kontrolowanego układania wydruków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bCs/>
                <w:sz w:val="20"/>
                <w:szCs w:val="20"/>
              </w:rPr>
              <w:t>Internetowy interfejs API;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bCs/>
                <w:sz w:val="20"/>
                <w:szCs w:val="20"/>
              </w:rPr>
              <w:t>Kolorowy wyświetlacz LCD;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bCs/>
                <w:sz w:val="20"/>
                <w:szCs w:val="20"/>
              </w:rPr>
              <w:t>Certyfikaty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FA28E4">
              <w:rPr>
                <w:rFonts w:cstheme="minorHAnsi"/>
                <w:sz w:val="20"/>
                <w:szCs w:val="20"/>
              </w:rPr>
              <w:t>Oferowany skaner musi być: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EFEFEF"/>
                <w:lang w:val="pl-PL"/>
              </w:rPr>
            </w:pPr>
            <w:r w:rsidRPr="00FA28E4">
              <w:rPr>
                <w:rFonts w:cstheme="minorHAnsi"/>
                <w:sz w:val="20"/>
                <w:szCs w:val="20"/>
                <w:lang w:val="pl-PL"/>
              </w:rPr>
              <w:t>Wyprodukowany zgodnie z normami ISO 9001, ISO 14001 i ISO 45001 – załączyć do oferty certyfikaty dla producenta;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color w:val="000000"/>
                <w:sz w:val="20"/>
                <w:szCs w:val="20"/>
                <w:shd w:val="clear" w:color="auto" w:fill="EFEFEF"/>
                <w:lang w:val="pl-PL"/>
              </w:rPr>
            </w:pPr>
            <w:r w:rsidRPr="00FA28E4">
              <w:rPr>
                <w:rFonts w:cstheme="minorHAnsi"/>
                <w:sz w:val="20"/>
                <w:szCs w:val="20"/>
                <w:lang w:val="pl-PL"/>
              </w:rPr>
              <w:t xml:space="preserve">Certyfikowany w zakresie EPEAT i Energy Star – załączyć do oferty certyfikaty lub wydruki ze stron: </w:t>
            </w:r>
            <w:hyperlink r:id="rId8" w:history="1">
              <w:r w:rsidRPr="00FA28E4">
                <w:rPr>
                  <w:rStyle w:val="Hipercze"/>
                  <w:rFonts w:cstheme="minorHAnsi"/>
                  <w:b/>
                  <w:sz w:val="20"/>
                  <w:szCs w:val="20"/>
                  <w:lang w:val="pl-PL"/>
                </w:rPr>
                <w:t>https://epeat.net/</w:t>
              </w:r>
            </w:hyperlink>
            <w:r w:rsidRPr="00FA28E4">
              <w:rPr>
                <w:rFonts w:cstheme="minorHAnsi"/>
                <w:sz w:val="20"/>
                <w:szCs w:val="20"/>
                <w:lang w:val="pl-PL"/>
              </w:rPr>
              <w:t xml:space="preserve"> oraz </w:t>
            </w:r>
            <w:hyperlink r:id="rId9" w:history="1">
              <w:r w:rsidRPr="00FA28E4">
                <w:rPr>
                  <w:rStyle w:val="Hipercze"/>
                  <w:rFonts w:cstheme="minorHAnsi"/>
                  <w:b/>
                  <w:sz w:val="20"/>
                  <w:szCs w:val="20"/>
                  <w:lang w:val="pl-PL"/>
                </w:rPr>
                <w:t>https://www.energystar.gov/</w:t>
              </w:r>
            </w:hyperlink>
            <w:r w:rsidRPr="00FA28E4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FA28E4" w:rsidRPr="00FA28E4" w:rsidTr="00FA28E4">
        <w:trPr>
          <w:trHeight w:val="284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cstheme="minorHAnsi"/>
                <w:bCs/>
                <w:sz w:val="20"/>
                <w:szCs w:val="20"/>
              </w:rPr>
              <w:t>Warunki gwarancji i serwisu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Bezodstpw"/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 xml:space="preserve">12 </w:t>
            </w:r>
            <w:r w:rsidR="00B01A5B"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miesięcy</w:t>
            </w: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;</w:t>
            </w:r>
          </w:p>
          <w:p w:rsidR="00FA28E4" w:rsidRPr="00FA28E4" w:rsidRDefault="00FA28E4" w:rsidP="00FA28E4">
            <w:pPr>
              <w:pStyle w:val="Bezodstpw"/>
              <w:rPr>
                <w:rFonts w:cstheme="minorHAnsi"/>
                <w:bCs/>
                <w:sz w:val="20"/>
                <w:szCs w:val="20"/>
              </w:rPr>
            </w:pPr>
            <w:r w:rsidRPr="00FA28E4">
              <w:rPr>
                <w:rFonts w:eastAsia="Times New Roman" w:cstheme="minorHAnsi"/>
                <w:color w:val="121212"/>
                <w:sz w:val="20"/>
                <w:szCs w:val="20"/>
                <w:lang w:eastAsia="pl-PL"/>
              </w:rPr>
              <w:t>Serwis musi być świadczony zgodnie z normą ISO 27001 – załączyć do oferty certyfikat dla oferenta na świadczenie usłg serwisowych dla rozwiązań informatycznych;</w:t>
            </w:r>
          </w:p>
        </w:tc>
      </w:tr>
    </w:tbl>
    <w:p w:rsidR="00250B55" w:rsidRPr="00FA28E4" w:rsidRDefault="00250B55" w:rsidP="008F0C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50B55" w:rsidRPr="00FA28E4" w:rsidRDefault="00FA28E4" w:rsidP="00FA28E4">
      <w:pPr>
        <w:pStyle w:val="Akapitzlist"/>
        <w:numPr>
          <w:ilvl w:val="0"/>
          <w:numId w:val="21"/>
        </w:numPr>
        <w:spacing w:after="0"/>
        <w:ind w:left="709"/>
        <w:rPr>
          <w:rFonts w:cstheme="minorHAnsi"/>
          <w:b/>
          <w:sz w:val="20"/>
          <w:lang w:val="pl-PL"/>
        </w:rPr>
      </w:pPr>
      <w:r w:rsidRPr="00FA28E4">
        <w:rPr>
          <w:rFonts w:cstheme="minorHAnsi"/>
          <w:b/>
          <w:sz w:val="20"/>
          <w:lang w:val="pl-PL"/>
        </w:rPr>
        <w:t xml:space="preserve">Czytnik kodów </w:t>
      </w:r>
      <w:proofErr w:type="gramStart"/>
      <w:r w:rsidRPr="00FA28E4">
        <w:rPr>
          <w:rFonts w:cstheme="minorHAnsi"/>
          <w:b/>
          <w:sz w:val="20"/>
          <w:lang w:val="pl-PL"/>
        </w:rPr>
        <w:t>kreskowych  –</w:t>
      </w:r>
      <w:proofErr w:type="gramEnd"/>
      <w:r w:rsidRPr="00FA28E4">
        <w:rPr>
          <w:rFonts w:cstheme="minorHAnsi"/>
          <w:b/>
          <w:sz w:val="20"/>
          <w:lang w:val="pl-PL"/>
        </w:rPr>
        <w:t xml:space="preserve"> 1 szt.</w:t>
      </w:r>
    </w:p>
    <w:tbl>
      <w:tblPr>
        <w:tblW w:w="4987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1"/>
        <w:gridCol w:w="6639"/>
      </w:tblGrid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E4" w:rsidRPr="00FA28E4" w:rsidRDefault="00FA28E4" w:rsidP="007014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A28E4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Nazwa komponentu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8E4" w:rsidRPr="00FA28E4" w:rsidRDefault="00FA28E4" w:rsidP="0070142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A28E4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Wymagane minimalne parametry techniczne 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asciiTheme="minorHAnsi" w:eastAsia="Times New Roman" w:hAnsiTheme="minorHAnsi" w:cstheme="minorHAnsi"/>
                <w:color w:val="121212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8E4">
              <w:rPr>
                <w:rFonts w:asciiTheme="minorHAnsi" w:eastAsia="Times New Roman" w:hAnsiTheme="minorHAnsi" w:cstheme="minorHAnsi"/>
                <w:color w:val="121212"/>
                <w:sz w:val="20"/>
                <w:szCs w:val="20"/>
                <w:lang w:eastAsia="pl-PL"/>
              </w:rPr>
              <w:t>Przewodowy z podstawką;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21212"/>
                <w:sz w:val="20"/>
                <w:szCs w:val="20"/>
                <w:lang w:eastAsia="pl-PL"/>
              </w:rPr>
            </w:pPr>
            <w:r w:rsidRPr="00FA28E4">
              <w:rPr>
                <w:rFonts w:asciiTheme="minorHAnsi" w:eastAsia="Times New Roman" w:hAnsiTheme="minorHAnsi" w:cstheme="minorHAnsi"/>
                <w:color w:val="121212"/>
                <w:sz w:val="20"/>
                <w:szCs w:val="20"/>
                <w:lang w:eastAsia="pl-PL"/>
              </w:rPr>
              <w:t>Podłączenie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A28E4">
              <w:rPr>
                <w:rFonts w:asciiTheme="minorHAnsi" w:eastAsia="Times New Roman" w:hAnsiTheme="minorHAnsi" w:cstheme="minorHAnsi"/>
                <w:color w:val="121212"/>
                <w:sz w:val="20"/>
                <w:szCs w:val="20"/>
                <w:lang w:eastAsia="pl-PL"/>
              </w:rPr>
              <w:t>Plug and play;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pStyle w:val="Default"/>
              <w:rPr>
                <w:rFonts w:asciiTheme="minorHAnsi" w:hAnsiTheme="minorHAnsi" w:cstheme="minorHAnsi"/>
                <w:color w:val="121212"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color w:val="121212"/>
                <w:sz w:val="20"/>
                <w:szCs w:val="20"/>
              </w:rPr>
              <w:t>Tryby skanowania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A28E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Ręczny i automatyczny;</w:t>
            </w:r>
          </w:p>
          <w:p w:rsidR="00FA28E4" w:rsidRPr="00FA28E4" w:rsidRDefault="00FA28E4" w:rsidP="0070142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A28E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Zmiana trybów bez konieczności zmiany ustawień czytnika;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Obsługiwane kody kreskowe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39, 128, 93, Codabar/NW7, 11, UPC/EAN, , GS1 DataBar, Base 32, PDF417, kody złożone, TLC-39, Aztec, DataMatrix, MaxiCode, QR Code, Micro QR, pocztowe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28E4">
              <w:rPr>
                <w:rFonts w:asciiTheme="minorHAnsi" w:eastAsia="Times New Roman" w:hAnsiTheme="minorHAnsi" w:cstheme="minorHAnsi"/>
                <w:color w:val="121212"/>
                <w:sz w:val="20"/>
                <w:szCs w:val="20"/>
                <w:lang w:eastAsia="pl-PL"/>
              </w:rPr>
              <w:t xml:space="preserve">Oprogramowanie 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FA28E4">
            <w:pPr>
              <w:pStyle w:val="Akapitzlist"/>
              <w:numPr>
                <w:ilvl w:val="0"/>
                <w:numId w:val="47"/>
              </w:numPr>
              <w:spacing w:before="0" w:after="0"/>
              <w:ind w:left="356"/>
              <w:rPr>
                <w:rFonts w:eastAsiaTheme="minorHAnsi" w:cstheme="minorHAnsi"/>
                <w:color w:val="323C46"/>
                <w:sz w:val="20"/>
                <w:lang w:val="pl-PL"/>
              </w:rPr>
            </w:pPr>
            <w:r w:rsidRPr="00FA28E4">
              <w:rPr>
                <w:rFonts w:cstheme="minorHAnsi"/>
                <w:color w:val="121212"/>
                <w:sz w:val="20"/>
                <w:lang w:val="pl-PL"/>
              </w:rPr>
              <w:t>Musi być o</w:t>
            </w:r>
            <w:r w:rsidRPr="00FA28E4">
              <w:rPr>
                <w:rFonts w:eastAsiaTheme="minorHAnsi" w:cstheme="minorHAnsi"/>
                <w:color w:val="323C46"/>
                <w:sz w:val="20"/>
                <w:lang w:val="pl-PL"/>
              </w:rPr>
              <w:t>parte na kreatorze;</w:t>
            </w:r>
          </w:p>
          <w:p w:rsidR="00FA28E4" w:rsidRPr="00FA28E4" w:rsidRDefault="00FA28E4" w:rsidP="00FA28E4">
            <w:pPr>
              <w:pStyle w:val="Akapitzlist"/>
              <w:numPr>
                <w:ilvl w:val="0"/>
                <w:numId w:val="47"/>
              </w:numPr>
              <w:spacing w:before="0" w:after="0"/>
              <w:ind w:left="356"/>
              <w:rPr>
                <w:rFonts w:eastAsiaTheme="minorHAnsi" w:cstheme="minorHAnsi"/>
                <w:color w:val="323C46"/>
                <w:sz w:val="20"/>
                <w:lang w:val="pl-PL"/>
              </w:rPr>
            </w:pPr>
            <w:r w:rsidRPr="00FA28E4">
              <w:rPr>
                <w:rFonts w:eastAsiaTheme="minorHAnsi" w:cstheme="minorHAnsi"/>
                <w:color w:val="323C46"/>
                <w:sz w:val="20"/>
                <w:lang w:val="pl-PL"/>
              </w:rPr>
              <w:t>Możliwość zapisania wszystkich ustawień w jednym kodzie kreskowym, umożliwiając konfigurowanie urządzeń przez pojedynczą operacją skanowania;</w:t>
            </w:r>
          </w:p>
          <w:p w:rsidR="00FA28E4" w:rsidRPr="00FA28E4" w:rsidRDefault="00FA28E4" w:rsidP="00FA28E4">
            <w:pPr>
              <w:pStyle w:val="Akapitzlist"/>
              <w:numPr>
                <w:ilvl w:val="0"/>
                <w:numId w:val="47"/>
              </w:numPr>
              <w:spacing w:before="0" w:after="0"/>
              <w:ind w:left="356"/>
              <w:rPr>
                <w:rFonts w:eastAsiaTheme="minorHAnsi" w:cstheme="minorHAnsi"/>
                <w:color w:val="323C46"/>
                <w:sz w:val="20"/>
                <w:lang w:val="pl-PL"/>
              </w:rPr>
            </w:pPr>
            <w:r w:rsidRPr="00FA28E4">
              <w:rPr>
                <w:rFonts w:eastAsiaTheme="minorHAnsi" w:cstheme="minorHAnsi"/>
                <w:color w:val="323C46"/>
                <w:sz w:val="20"/>
                <w:lang w:val="pl-PL"/>
              </w:rPr>
              <w:t xml:space="preserve">Wyprodukowane przez </w:t>
            </w:r>
            <w:r w:rsidRPr="00FA28E4">
              <w:rPr>
                <w:rFonts w:cstheme="minorHAnsi"/>
                <w:color w:val="121212"/>
                <w:sz w:val="20"/>
              </w:rPr>
              <w:t>producenta czynika;</w:t>
            </w:r>
          </w:p>
          <w:p w:rsidR="00FA28E4" w:rsidRPr="00FA28E4" w:rsidRDefault="00FA28E4" w:rsidP="00FA28E4">
            <w:pPr>
              <w:pStyle w:val="Akapitzlist"/>
              <w:numPr>
                <w:ilvl w:val="0"/>
                <w:numId w:val="47"/>
              </w:numPr>
              <w:spacing w:before="0" w:after="0"/>
              <w:ind w:left="356"/>
              <w:rPr>
                <w:rFonts w:eastAsiaTheme="minorHAnsi" w:cstheme="minorHAnsi"/>
                <w:color w:val="323C46"/>
                <w:sz w:val="20"/>
                <w:lang w:val="pl-PL"/>
              </w:rPr>
            </w:pPr>
            <w:r w:rsidRPr="00FA28E4">
              <w:rPr>
                <w:rFonts w:eastAsiaTheme="minorHAnsi" w:cstheme="minorHAnsi"/>
                <w:color w:val="323C46"/>
                <w:sz w:val="20"/>
                <w:lang w:val="pl-PL"/>
              </w:rPr>
              <w:t>Aktualizowanie oprogramowania;</w:t>
            </w:r>
          </w:p>
          <w:p w:rsidR="00FA28E4" w:rsidRPr="00FA28E4" w:rsidRDefault="00FA28E4" w:rsidP="00FA28E4">
            <w:pPr>
              <w:pStyle w:val="Akapitzlist"/>
              <w:numPr>
                <w:ilvl w:val="0"/>
                <w:numId w:val="47"/>
              </w:numPr>
              <w:spacing w:before="0" w:after="0"/>
              <w:ind w:left="356"/>
              <w:rPr>
                <w:rFonts w:eastAsiaTheme="minorHAnsi" w:cstheme="minorHAnsi"/>
                <w:color w:val="323C46"/>
                <w:sz w:val="20"/>
                <w:lang w:val="pl-PL"/>
              </w:rPr>
            </w:pPr>
            <w:r w:rsidRPr="00FA28E4">
              <w:rPr>
                <w:rFonts w:eastAsiaTheme="minorHAnsi" w:cstheme="minorHAnsi"/>
                <w:color w:val="323C46"/>
                <w:sz w:val="20"/>
                <w:lang w:val="pl-PL"/>
              </w:rPr>
              <w:t xml:space="preserve">Wyświetlanie danych ze </w:t>
            </w:r>
            <w:r w:rsidR="00B01A5B">
              <w:rPr>
                <w:rFonts w:eastAsiaTheme="minorHAnsi" w:cstheme="minorHAnsi"/>
                <w:color w:val="323C46"/>
                <w:sz w:val="20"/>
                <w:lang w:val="pl-PL"/>
              </w:rPr>
              <w:t>skanowanych kodów i t</w:t>
            </w:r>
            <w:r w:rsidRPr="00FA28E4">
              <w:rPr>
                <w:rFonts w:eastAsiaTheme="minorHAnsi" w:cstheme="minorHAnsi"/>
                <w:color w:val="323C46"/>
                <w:sz w:val="20"/>
                <w:lang w:val="pl-PL"/>
              </w:rPr>
              <w:t>worzenie raportów;</w:t>
            </w:r>
          </w:p>
          <w:p w:rsidR="00FA28E4" w:rsidRPr="00FA28E4" w:rsidRDefault="00B01A5B" w:rsidP="00FA28E4">
            <w:pPr>
              <w:pStyle w:val="Akapitzlist"/>
              <w:numPr>
                <w:ilvl w:val="0"/>
                <w:numId w:val="47"/>
              </w:numPr>
              <w:spacing w:before="0" w:after="0"/>
              <w:ind w:left="356"/>
              <w:rPr>
                <w:rFonts w:eastAsiaTheme="minorHAnsi" w:cstheme="minorHAnsi"/>
                <w:color w:val="323C46"/>
                <w:sz w:val="20"/>
                <w:lang w:val="pl-PL"/>
              </w:rPr>
            </w:pPr>
            <w:r>
              <w:rPr>
                <w:rFonts w:eastAsiaTheme="minorHAnsi" w:cstheme="minorHAnsi"/>
                <w:color w:val="323C46"/>
                <w:sz w:val="20"/>
                <w:lang w:val="pl-PL"/>
              </w:rPr>
              <w:t>Moż</w:t>
            </w:r>
            <w:r w:rsidRPr="00FA28E4">
              <w:rPr>
                <w:rFonts w:eastAsiaTheme="minorHAnsi" w:cstheme="minorHAnsi"/>
                <w:color w:val="323C46"/>
                <w:sz w:val="20"/>
                <w:lang w:val="pl-PL"/>
              </w:rPr>
              <w:t>liwość</w:t>
            </w:r>
            <w:r w:rsidR="00FA28E4" w:rsidRPr="00FA28E4">
              <w:rPr>
                <w:rFonts w:eastAsiaTheme="minorHAnsi" w:cstheme="minorHAnsi"/>
                <w:color w:val="323C46"/>
                <w:sz w:val="20"/>
                <w:lang w:val="pl-PL"/>
              </w:rPr>
              <w:t xml:space="preserve"> stworzenia</w:t>
            </w:r>
            <w:r w:rsidR="00FA28E4" w:rsidRPr="00FA28E4">
              <w:rPr>
                <w:rFonts w:eastAsiaTheme="minorHAnsi" w:cstheme="minorHAnsi"/>
                <w:color w:val="000000"/>
                <w:sz w:val="20"/>
                <w:lang w:val="pl-PL"/>
              </w:rPr>
              <w:t xml:space="preserve"> aplikacji skanującej wraz z dokumentacją, sterownikami, narzędziami testującymi i przykładowym kodem źródłowym;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Obsługiwane interfejsy hosta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USB, RS232;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</w:rPr>
              <w:t>Wskaźniki dla użytkownika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Bezpośredni wskaźnik odczytu, wskaźniki LED dobrego </w:t>
            </w:r>
            <w:r w:rsidR="00B01A5B"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odczytu,</w:t>
            </w:r>
            <w:r w:rsidR="00B01A5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1A5B"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tylne</w:t>
            </w:r>
            <w:r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diody LED, sygnał dźwiękowy z regulacją głośności;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sz w:val="20"/>
                <w:szCs w:val="20"/>
              </w:rPr>
              <w:t>Tolerancja na ruch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</w:rPr>
              <w:t>Tryb ręczny – maksymalnie 15 cm/s.;</w:t>
            </w:r>
          </w:p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</w:rPr>
              <w:t>Tryb automatyczny – maksymalnie 80 cm/s.;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Pole widzenia czytnika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</w:rPr>
              <w:t>32 stopnie w poziomie, 24 stopnie w pionie;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sz w:val="20"/>
                <w:szCs w:val="20"/>
              </w:rPr>
              <w:t>Czujnik obrazu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</w:rPr>
              <w:t>640 x 480 pikseli;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sz w:val="20"/>
                <w:szCs w:val="20"/>
              </w:rPr>
              <w:t>Odporność na upadki / wstrząsy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Konstrukcja musi być odporna na wielokrotne upadki na beton z wysokości co najmniej 1,5 m;</w:t>
            </w:r>
          </w:p>
          <w:p w:rsidR="00FA28E4" w:rsidRPr="00FA28E4" w:rsidRDefault="00FA28E4" w:rsidP="007014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Konstrukcja musi być odporna na co najniej 250 wstrząsów o amplitudzie 0,5 m.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</w:rPr>
              <w:t>Klasa szczelności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</w:rPr>
              <w:t>IP52;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B01A5B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Zgodność</w:t>
            </w:r>
            <w:r w:rsidRPr="00FA28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z normami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pStyle w:val="Default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</w:pPr>
            <w:r w:rsidRPr="00FA28E4">
              <w:rPr>
                <w:rFonts w:asciiTheme="minorHAnsi" w:eastAsiaTheme="minorHAnsi" w:hAnsiTheme="minorHAnsi" w:cstheme="minorHAnsi"/>
                <w:sz w:val="20"/>
                <w:szCs w:val="20"/>
                <w:lang w:val="en-AU"/>
              </w:rPr>
              <w:t>EN 60950-1, IEC 60950-1, UL 60950-1, RoHS EN 50581, IEC 62471, EN 55024</w:t>
            </w:r>
          </w:p>
          <w:p w:rsidR="00FA28E4" w:rsidRPr="00FA28E4" w:rsidRDefault="00FA28E4" w:rsidP="007014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AU"/>
              </w:rPr>
              <w:t xml:space="preserve">EN 61000-3-2, </w:t>
            </w:r>
            <w:r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EN 61000-3-3, ICES-003;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</w:rPr>
              <w:t>Wymagania dodatkowe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Skanowanie wielokierunkowe;</w:t>
            </w:r>
          </w:p>
          <w:p w:rsidR="00FA28E4" w:rsidRPr="00FA28E4" w:rsidRDefault="00FA28E4" w:rsidP="007014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FEFEF"/>
              </w:rPr>
            </w:pPr>
            <w:r w:rsidRPr="00FA28E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Możliwość w</w:t>
            </w:r>
            <w:r w:rsidRPr="00FA28E4">
              <w:rPr>
                <w:rFonts w:asciiTheme="minorHAnsi" w:eastAsiaTheme="minorHAnsi" w:hAnsiTheme="minorHAnsi" w:cstheme="minorHAnsi"/>
                <w:color w:val="323C46"/>
                <w:sz w:val="20"/>
                <w:szCs w:val="20"/>
              </w:rPr>
              <w:t>yświetlania danych ze skanowanych kodów na urządzeniach mobilnych;</w:t>
            </w:r>
          </w:p>
        </w:tc>
      </w:tr>
      <w:tr w:rsidR="00FA28E4" w:rsidRPr="00FA28E4" w:rsidTr="00FA28E4">
        <w:trPr>
          <w:trHeight w:val="28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hAnsiTheme="minorHAnsi" w:cstheme="minorHAnsi"/>
                <w:bCs/>
                <w:sz w:val="20"/>
                <w:szCs w:val="20"/>
              </w:rPr>
              <w:t>Warunki gwarancji i serwisu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E4" w:rsidRPr="00FA28E4" w:rsidRDefault="00FA28E4" w:rsidP="0070142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28E4">
              <w:rPr>
                <w:rFonts w:asciiTheme="minorHAnsi" w:eastAsia="Times New Roman" w:hAnsiTheme="minorHAnsi" w:cstheme="minorHAnsi"/>
                <w:color w:val="121212"/>
                <w:sz w:val="20"/>
                <w:szCs w:val="20"/>
                <w:lang w:eastAsia="pl-PL"/>
              </w:rPr>
              <w:t>Gwarancja producenta – 5 lat na skaner, 3 lata na podstawkę</w:t>
            </w:r>
            <w:r w:rsidRPr="00FA28E4">
              <w:rPr>
                <w:rFonts w:asciiTheme="minorHAnsi" w:eastAsia="Times New Roman" w:hAnsiTheme="minorHAnsi" w:cstheme="minorHAnsi"/>
                <w:b/>
                <w:color w:val="121212"/>
                <w:sz w:val="20"/>
                <w:szCs w:val="20"/>
                <w:lang w:eastAsia="pl-PL"/>
              </w:rPr>
              <w:t>;</w:t>
            </w:r>
          </w:p>
        </w:tc>
      </w:tr>
    </w:tbl>
    <w:p w:rsidR="00250B55" w:rsidRPr="00FA28E4" w:rsidRDefault="00250B55" w:rsidP="008F0CE3">
      <w:pPr>
        <w:pStyle w:val="Akapitzlist"/>
        <w:spacing w:before="0" w:after="0"/>
        <w:ind w:left="0"/>
        <w:rPr>
          <w:rFonts w:cstheme="minorHAnsi"/>
          <w:sz w:val="20"/>
          <w:lang w:val="pl-PL"/>
        </w:rPr>
      </w:pPr>
    </w:p>
    <w:p w:rsidR="00250B55" w:rsidRPr="00FA28E4" w:rsidRDefault="00250B55" w:rsidP="008F0C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A28E4" w:rsidRPr="00FA28E4" w:rsidRDefault="00FA28E4" w:rsidP="00FA28E4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FA28E4">
        <w:rPr>
          <w:b/>
          <w:sz w:val="20"/>
          <w:szCs w:val="20"/>
        </w:rPr>
        <w:t xml:space="preserve">Zamawiający zastrzega sobie możliwość wezwania oferentów, którzy złożyli oferty niepodlegające odrzuceniu w niniejszym postępowaniu, do okazania zaoferowanego sprzętu i oprogramowania, w celu sprawdzenia ich zgodności z wymaganiami określonymi przez Zamawiającego w SIWZ. </w:t>
      </w:r>
    </w:p>
    <w:p w:rsidR="00FA28E4" w:rsidRPr="00FA28E4" w:rsidRDefault="00FA28E4" w:rsidP="00FA28E4">
      <w:pPr>
        <w:autoSpaceDE w:val="0"/>
        <w:autoSpaceDN w:val="0"/>
        <w:adjustRightInd w:val="0"/>
        <w:spacing w:after="0"/>
        <w:jc w:val="both"/>
        <w:rPr>
          <w:b/>
          <w:sz w:val="20"/>
          <w:szCs w:val="20"/>
        </w:rPr>
      </w:pPr>
      <w:r w:rsidRPr="00FA28E4">
        <w:rPr>
          <w:b/>
          <w:sz w:val="20"/>
          <w:szCs w:val="20"/>
        </w:rPr>
        <w:t xml:space="preserve">Okazanie nastąpi w dniu wyznaczonym przez Zamawiającego, po terminie składania ofert. Zamawiający poinformuje o terminie przeprowadzenia </w:t>
      </w:r>
      <w:r w:rsidR="00B01A5B" w:rsidRPr="00FA28E4">
        <w:rPr>
          <w:b/>
          <w:sz w:val="20"/>
          <w:szCs w:val="20"/>
        </w:rPr>
        <w:t>okazania, z co</w:t>
      </w:r>
      <w:r w:rsidRPr="00FA28E4">
        <w:rPr>
          <w:b/>
          <w:sz w:val="20"/>
          <w:szCs w:val="20"/>
        </w:rPr>
        <w:t xml:space="preserve"> najmniej pięciodniowym wyprzedzeniem (dni kalendarzowe). </w:t>
      </w:r>
    </w:p>
    <w:p w:rsidR="00FA28E4" w:rsidRPr="00FA28E4" w:rsidRDefault="00FA28E4" w:rsidP="00FA28E4">
      <w:pPr>
        <w:autoSpaceDE w:val="0"/>
        <w:autoSpaceDN w:val="0"/>
        <w:adjustRightInd w:val="0"/>
        <w:spacing w:after="0"/>
        <w:jc w:val="both"/>
        <w:rPr>
          <w:rFonts w:eastAsia="ArialMT" w:cstheme="minorHAnsi"/>
          <w:b/>
          <w:sz w:val="20"/>
          <w:szCs w:val="20"/>
        </w:rPr>
      </w:pPr>
      <w:r w:rsidRPr="00FA28E4">
        <w:rPr>
          <w:b/>
          <w:sz w:val="20"/>
          <w:szCs w:val="20"/>
        </w:rPr>
        <w:t xml:space="preserve">Niestawienie się oferenta w wyznaczonym czasie i miejscu na okazaniu (prezentacji) sprzętu i/lub oprogramowania, uznane </w:t>
      </w:r>
      <w:r w:rsidR="00B01A5B" w:rsidRPr="00FA28E4">
        <w:rPr>
          <w:b/>
          <w:sz w:val="20"/>
          <w:szCs w:val="20"/>
        </w:rPr>
        <w:t>będzie, jako</w:t>
      </w:r>
      <w:r w:rsidRPr="00FA28E4">
        <w:rPr>
          <w:b/>
          <w:sz w:val="20"/>
          <w:szCs w:val="20"/>
        </w:rPr>
        <w:t xml:space="preserve"> negatywny wynik okazania, tj. niepotwierdzenie przez oferenta wymagań określonych przez Zamawiającego, co będzie skutkowało odrzuceniem oferty na podstawie art. 226 ust. 1 pkt. 5 Ustawy Pzp.</w:t>
      </w:r>
    </w:p>
    <w:p w:rsidR="00CB7564" w:rsidRPr="00FA28E4" w:rsidRDefault="00CB7564" w:rsidP="008F0C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CB7564" w:rsidRPr="00FA28E4" w:rsidSect="00D02ED3">
      <w:headerReference w:type="default" r:id="rId10"/>
      <w:footerReference w:type="defaul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B71" w:rsidRDefault="00552B71" w:rsidP="00B471A0">
      <w:pPr>
        <w:spacing w:after="0" w:line="240" w:lineRule="auto"/>
      </w:pPr>
      <w:r>
        <w:separator/>
      </w:r>
    </w:p>
  </w:endnote>
  <w:endnote w:type="continuationSeparator" w:id="0">
    <w:p w:rsidR="00552B71" w:rsidRDefault="00552B71" w:rsidP="00B4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100">
    <w:altName w:val="Museo Sans 100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931" w:rsidRDefault="0000000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96.75pt;margin-top:788.75pt;width:401.65pt;height:26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" filled="f" stroked="f">
          <v:textbox style="mso-next-textbox:#Text Box 2" inset="0,0,0,0">
            <w:txbxContent>
              <w:p w:rsidR="00AE2931" w:rsidRPr="006C18C8" w:rsidRDefault="00AE2931" w:rsidP="00D02ED3">
                <w:pPr>
                  <w:spacing w:before="13" w:line="237" w:lineRule="auto"/>
                  <w:ind w:left="288" w:right="-4" w:hanging="269"/>
                  <w:jc w:val="center"/>
                  <w:rPr>
                    <w:rFonts w:asciiTheme="minorHAnsi" w:hAnsiTheme="minorHAnsi" w:cstheme="minorHAnsi"/>
                  </w:rPr>
                </w:pPr>
                <w:r w:rsidRPr="006C18C8">
                  <w:rPr>
                    <w:rFonts w:asciiTheme="minorHAnsi" w:hAnsiTheme="minorHAnsi" w:cstheme="minorHAnsi"/>
                  </w:rPr>
                  <w:t>Projekt “Cyfrowa Gmina” jest finansowany ze środków Europejskiego Funduszu Rozwoju Regionalnego w ramach Programu Operacyjnego Polska Cyfrowa na lata 2014-2020</w:t>
                </w:r>
              </w:p>
            </w:txbxContent>
          </v:textbox>
          <w10:wrap anchorx="page" anchory="page"/>
        </v:shape>
      </w:pict>
    </w:r>
  </w:p>
  <w:p w:rsidR="00AE2931" w:rsidRDefault="00AE2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B71" w:rsidRDefault="00552B71" w:rsidP="00B471A0">
      <w:pPr>
        <w:spacing w:after="0" w:line="240" w:lineRule="auto"/>
      </w:pPr>
      <w:r>
        <w:separator/>
      </w:r>
    </w:p>
  </w:footnote>
  <w:footnote w:type="continuationSeparator" w:id="0">
    <w:p w:rsidR="00552B71" w:rsidRDefault="00552B71" w:rsidP="00B4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931" w:rsidRDefault="00AE2931">
    <w:pPr>
      <w:pStyle w:val="Nagwek"/>
    </w:pPr>
    <w:r w:rsidRPr="009625B7">
      <w:rPr>
        <w:noProof/>
        <w:lang w:eastAsia="pl-PL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929640</wp:posOffset>
          </wp:positionH>
          <wp:positionV relativeFrom="page">
            <wp:posOffset>213360</wp:posOffset>
          </wp:positionV>
          <wp:extent cx="5760720" cy="655320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ACA"/>
    <w:multiLevelType w:val="hybridMultilevel"/>
    <w:tmpl w:val="E2E8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9CB"/>
    <w:multiLevelType w:val="hybridMultilevel"/>
    <w:tmpl w:val="1FA0BAD2"/>
    <w:lvl w:ilvl="0" w:tplc="5008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5BDE"/>
    <w:multiLevelType w:val="hybridMultilevel"/>
    <w:tmpl w:val="67883E2C"/>
    <w:lvl w:ilvl="0" w:tplc="94EA63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1008"/>
    <w:multiLevelType w:val="hybridMultilevel"/>
    <w:tmpl w:val="9E186EBA"/>
    <w:lvl w:ilvl="0" w:tplc="FD08DC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010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2145E"/>
    <w:multiLevelType w:val="hybridMultilevel"/>
    <w:tmpl w:val="CD76B2E8"/>
    <w:lvl w:ilvl="0" w:tplc="CD061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4727"/>
    <w:multiLevelType w:val="hybridMultilevel"/>
    <w:tmpl w:val="DC6E2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42B36"/>
    <w:multiLevelType w:val="hybridMultilevel"/>
    <w:tmpl w:val="4564753E"/>
    <w:lvl w:ilvl="0" w:tplc="E4AAD0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18E9"/>
    <w:multiLevelType w:val="hybridMultilevel"/>
    <w:tmpl w:val="EED28C36"/>
    <w:lvl w:ilvl="0" w:tplc="CD0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1F5E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727C0"/>
    <w:multiLevelType w:val="hybridMultilevel"/>
    <w:tmpl w:val="7854B8C2"/>
    <w:lvl w:ilvl="0" w:tplc="2BF49F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7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66B2"/>
    <w:multiLevelType w:val="hybridMultilevel"/>
    <w:tmpl w:val="0A829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C6837"/>
    <w:multiLevelType w:val="hybridMultilevel"/>
    <w:tmpl w:val="A2B44B84"/>
    <w:lvl w:ilvl="0" w:tplc="D04A40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446C0"/>
    <w:multiLevelType w:val="hybridMultilevel"/>
    <w:tmpl w:val="102CBC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910757D"/>
    <w:multiLevelType w:val="hybridMultilevel"/>
    <w:tmpl w:val="FEC0B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E1F65"/>
    <w:multiLevelType w:val="hybridMultilevel"/>
    <w:tmpl w:val="47060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11C0"/>
    <w:multiLevelType w:val="hybridMultilevel"/>
    <w:tmpl w:val="586C7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3BFE"/>
    <w:multiLevelType w:val="hybridMultilevel"/>
    <w:tmpl w:val="18B4294E"/>
    <w:lvl w:ilvl="0" w:tplc="08F4BD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115BE"/>
    <w:multiLevelType w:val="hybridMultilevel"/>
    <w:tmpl w:val="71485960"/>
    <w:lvl w:ilvl="0" w:tplc="58B0D5B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2CA0243D"/>
    <w:multiLevelType w:val="hybridMultilevel"/>
    <w:tmpl w:val="52DE5E78"/>
    <w:lvl w:ilvl="0" w:tplc="7CD67C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22DCA"/>
    <w:multiLevelType w:val="hybridMultilevel"/>
    <w:tmpl w:val="4564753E"/>
    <w:lvl w:ilvl="0" w:tplc="E4AAD0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E36E7"/>
    <w:multiLevelType w:val="multilevel"/>
    <w:tmpl w:val="0A94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B91E54"/>
    <w:multiLevelType w:val="hybridMultilevel"/>
    <w:tmpl w:val="8B8E3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35A29"/>
    <w:multiLevelType w:val="hybridMultilevel"/>
    <w:tmpl w:val="19427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E3714"/>
    <w:multiLevelType w:val="hybridMultilevel"/>
    <w:tmpl w:val="47A883D2"/>
    <w:lvl w:ilvl="0" w:tplc="E4AAD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528A5"/>
    <w:multiLevelType w:val="hybridMultilevel"/>
    <w:tmpl w:val="F40A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A1C1F"/>
    <w:multiLevelType w:val="hybridMultilevel"/>
    <w:tmpl w:val="D9425DF6"/>
    <w:lvl w:ilvl="0" w:tplc="01FA4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76384"/>
    <w:multiLevelType w:val="hybridMultilevel"/>
    <w:tmpl w:val="386A9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81B30"/>
    <w:multiLevelType w:val="hybridMultilevel"/>
    <w:tmpl w:val="853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243D6"/>
    <w:multiLevelType w:val="hybridMultilevel"/>
    <w:tmpl w:val="5C86F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B64F6"/>
    <w:multiLevelType w:val="hybridMultilevel"/>
    <w:tmpl w:val="18B4294E"/>
    <w:lvl w:ilvl="0" w:tplc="08F4BD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F71EA"/>
    <w:multiLevelType w:val="multilevel"/>
    <w:tmpl w:val="F73685A0"/>
    <w:styleLink w:val="WW8Num1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  <w:sz w:val="20"/>
        <w:szCs w:val="20"/>
      </w:rPr>
    </w:lvl>
  </w:abstractNum>
  <w:abstractNum w:abstractNumId="33" w15:restartNumberingAfterBreak="0">
    <w:nsid w:val="4E2F3254"/>
    <w:multiLevelType w:val="hybridMultilevel"/>
    <w:tmpl w:val="A814A8CC"/>
    <w:lvl w:ilvl="0" w:tplc="435CA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212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C0DFD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C07C6"/>
    <w:multiLevelType w:val="hybridMultilevel"/>
    <w:tmpl w:val="C6321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63802"/>
    <w:multiLevelType w:val="hybridMultilevel"/>
    <w:tmpl w:val="5698727E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32A4B"/>
    <w:multiLevelType w:val="hybridMultilevel"/>
    <w:tmpl w:val="858CA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94AD3"/>
    <w:multiLevelType w:val="hybridMultilevel"/>
    <w:tmpl w:val="882A4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C20D8"/>
    <w:multiLevelType w:val="hybridMultilevel"/>
    <w:tmpl w:val="3A1A472C"/>
    <w:lvl w:ilvl="0" w:tplc="1C0438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89E4319"/>
    <w:multiLevelType w:val="hybridMultilevel"/>
    <w:tmpl w:val="3126DEB4"/>
    <w:lvl w:ilvl="0" w:tplc="B0D8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02D84"/>
    <w:multiLevelType w:val="hybridMultilevel"/>
    <w:tmpl w:val="C6240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11094"/>
    <w:multiLevelType w:val="hybridMultilevel"/>
    <w:tmpl w:val="3126DEB4"/>
    <w:lvl w:ilvl="0" w:tplc="B0D8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4ACC"/>
    <w:multiLevelType w:val="hybridMultilevel"/>
    <w:tmpl w:val="417CA4AE"/>
    <w:lvl w:ilvl="0" w:tplc="037E5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450EC7"/>
    <w:multiLevelType w:val="hybridMultilevel"/>
    <w:tmpl w:val="19427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208D7"/>
    <w:multiLevelType w:val="hybridMultilevel"/>
    <w:tmpl w:val="E82E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319312">
    <w:abstractNumId w:val="46"/>
  </w:num>
  <w:num w:numId="2" w16cid:durableId="1453134810">
    <w:abstractNumId w:val="9"/>
  </w:num>
  <w:num w:numId="3" w16cid:durableId="25109828">
    <w:abstractNumId w:val="4"/>
  </w:num>
  <w:num w:numId="4" w16cid:durableId="1517386176">
    <w:abstractNumId w:val="41"/>
  </w:num>
  <w:num w:numId="5" w16cid:durableId="325672569">
    <w:abstractNumId w:val="28"/>
  </w:num>
  <w:num w:numId="6" w16cid:durableId="2079162080">
    <w:abstractNumId w:val="34"/>
  </w:num>
  <w:num w:numId="7" w16cid:durableId="1554654214">
    <w:abstractNumId w:val="29"/>
  </w:num>
  <w:num w:numId="8" w16cid:durableId="1277252763">
    <w:abstractNumId w:val="32"/>
  </w:num>
  <w:num w:numId="9" w16cid:durableId="730082748">
    <w:abstractNumId w:val="2"/>
  </w:num>
  <w:num w:numId="10" w16cid:durableId="1657221798">
    <w:abstractNumId w:val="36"/>
  </w:num>
  <w:num w:numId="11" w16cid:durableId="1619676850">
    <w:abstractNumId w:val="20"/>
  </w:num>
  <w:num w:numId="12" w16cid:durableId="505025097">
    <w:abstractNumId w:val="12"/>
  </w:num>
  <w:num w:numId="13" w16cid:durableId="2031100254">
    <w:abstractNumId w:val="3"/>
  </w:num>
  <w:num w:numId="14" w16cid:durableId="614602302">
    <w:abstractNumId w:val="27"/>
  </w:num>
  <w:num w:numId="15" w16cid:durableId="431978350">
    <w:abstractNumId w:val="31"/>
  </w:num>
  <w:num w:numId="16" w16cid:durableId="385498121">
    <w:abstractNumId w:val="43"/>
  </w:num>
  <w:num w:numId="17" w16cid:durableId="1832334855">
    <w:abstractNumId w:val="19"/>
  </w:num>
  <w:num w:numId="18" w16cid:durableId="602690035">
    <w:abstractNumId w:val="44"/>
  </w:num>
  <w:num w:numId="19" w16cid:durableId="463084770">
    <w:abstractNumId w:val="1"/>
  </w:num>
  <w:num w:numId="20" w16cid:durableId="1139567289">
    <w:abstractNumId w:val="26"/>
  </w:num>
  <w:num w:numId="21" w16cid:durableId="212620291">
    <w:abstractNumId w:val="39"/>
  </w:num>
  <w:num w:numId="22" w16cid:durableId="16122215">
    <w:abstractNumId w:val="14"/>
  </w:num>
  <w:num w:numId="23" w16cid:durableId="120732666">
    <w:abstractNumId w:val="40"/>
  </w:num>
  <w:num w:numId="24" w16cid:durableId="1322778790">
    <w:abstractNumId w:val="7"/>
  </w:num>
  <w:num w:numId="25" w16cid:durableId="1284077138">
    <w:abstractNumId w:val="45"/>
  </w:num>
  <w:num w:numId="26" w16cid:durableId="2054235465">
    <w:abstractNumId w:val="25"/>
  </w:num>
  <w:num w:numId="27" w16cid:durableId="1744065076">
    <w:abstractNumId w:val="18"/>
  </w:num>
  <w:num w:numId="28" w16cid:durableId="1805732530">
    <w:abstractNumId w:val="21"/>
  </w:num>
  <w:num w:numId="29" w16cid:durableId="645937139">
    <w:abstractNumId w:val="24"/>
  </w:num>
  <w:num w:numId="30" w16cid:durableId="256329988">
    <w:abstractNumId w:val="37"/>
  </w:num>
  <w:num w:numId="31" w16cid:durableId="1480003969">
    <w:abstractNumId w:val="30"/>
  </w:num>
  <w:num w:numId="32" w16cid:durableId="1806577516">
    <w:abstractNumId w:val="23"/>
  </w:num>
  <w:num w:numId="33" w16cid:durableId="1735621812">
    <w:abstractNumId w:val="0"/>
  </w:num>
  <w:num w:numId="34" w16cid:durableId="73943306">
    <w:abstractNumId w:val="16"/>
  </w:num>
  <w:num w:numId="35" w16cid:durableId="48920186">
    <w:abstractNumId w:val="42"/>
  </w:num>
  <w:num w:numId="36" w16cid:durableId="1140608848">
    <w:abstractNumId w:val="38"/>
  </w:num>
  <w:num w:numId="37" w16cid:durableId="2097746202">
    <w:abstractNumId w:val="6"/>
  </w:num>
  <w:num w:numId="38" w16cid:durableId="337733860">
    <w:abstractNumId w:val="15"/>
  </w:num>
  <w:num w:numId="39" w16cid:durableId="150219961">
    <w:abstractNumId w:val="35"/>
  </w:num>
  <w:num w:numId="40" w16cid:durableId="1537546262">
    <w:abstractNumId w:val="17"/>
  </w:num>
  <w:num w:numId="41" w16cid:durableId="1411778439">
    <w:abstractNumId w:val="22"/>
  </w:num>
  <w:num w:numId="42" w16cid:durableId="1043405388">
    <w:abstractNumId w:val="11"/>
  </w:num>
  <w:num w:numId="43" w16cid:durableId="951865772">
    <w:abstractNumId w:val="10"/>
  </w:num>
  <w:num w:numId="44" w16cid:durableId="167791937">
    <w:abstractNumId w:val="13"/>
  </w:num>
  <w:num w:numId="45" w16cid:durableId="982075333">
    <w:abstractNumId w:val="5"/>
  </w:num>
  <w:num w:numId="46" w16cid:durableId="865488962">
    <w:abstractNumId w:val="8"/>
  </w:num>
  <w:num w:numId="47" w16cid:durableId="1733429769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B55"/>
    <w:rsid w:val="00154391"/>
    <w:rsid w:val="001720DC"/>
    <w:rsid w:val="00184DAA"/>
    <w:rsid w:val="0019131F"/>
    <w:rsid w:val="001C2163"/>
    <w:rsid w:val="001C6E01"/>
    <w:rsid w:val="00250B55"/>
    <w:rsid w:val="0029541D"/>
    <w:rsid w:val="00296749"/>
    <w:rsid w:val="002A5092"/>
    <w:rsid w:val="002F452A"/>
    <w:rsid w:val="00302DC9"/>
    <w:rsid w:val="0030567F"/>
    <w:rsid w:val="003166E3"/>
    <w:rsid w:val="00332EFE"/>
    <w:rsid w:val="00350989"/>
    <w:rsid w:val="00355A9D"/>
    <w:rsid w:val="004C09FF"/>
    <w:rsid w:val="004D4B7C"/>
    <w:rsid w:val="005156E7"/>
    <w:rsid w:val="0052184C"/>
    <w:rsid w:val="00530978"/>
    <w:rsid w:val="00552B71"/>
    <w:rsid w:val="005C4A15"/>
    <w:rsid w:val="005D531A"/>
    <w:rsid w:val="005F4374"/>
    <w:rsid w:val="006931FF"/>
    <w:rsid w:val="006A5C6F"/>
    <w:rsid w:val="006B4B1A"/>
    <w:rsid w:val="006C01A9"/>
    <w:rsid w:val="00715397"/>
    <w:rsid w:val="0072050E"/>
    <w:rsid w:val="007210F4"/>
    <w:rsid w:val="00746468"/>
    <w:rsid w:val="007942AC"/>
    <w:rsid w:val="007B720D"/>
    <w:rsid w:val="008117B8"/>
    <w:rsid w:val="008441F8"/>
    <w:rsid w:val="00850CA3"/>
    <w:rsid w:val="0086746A"/>
    <w:rsid w:val="0087178D"/>
    <w:rsid w:val="008B7E2F"/>
    <w:rsid w:val="008F0CE3"/>
    <w:rsid w:val="009625B7"/>
    <w:rsid w:val="009A2B9F"/>
    <w:rsid w:val="00A86001"/>
    <w:rsid w:val="00A932E5"/>
    <w:rsid w:val="00AE2931"/>
    <w:rsid w:val="00B01A5B"/>
    <w:rsid w:val="00B240B4"/>
    <w:rsid w:val="00B415B2"/>
    <w:rsid w:val="00B471A0"/>
    <w:rsid w:val="00B63484"/>
    <w:rsid w:val="00B856A2"/>
    <w:rsid w:val="00BF7DE6"/>
    <w:rsid w:val="00C356FE"/>
    <w:rsid w:val="00CB7564"/>
    <w:rsid w:val="00CE781C"/>
    <w:rsid w:val="00D02ED3"/>
    <w:rsid w:val="00D07330"/>
    <w:rsid w:val="00D525A7"/>
    <w:rsid w:val="00DA73F8"/>
    <w:rsid w:val="00DC48AD"/>
    <w:rsid w:val="00DD6E1D"/>
    <w:rsid w:val="00E67032"/>
    <w:rsid w:val="00E73E8A"/>
    <w:rsid w:val="00ED5256"/>
    <w:rsid w:val="00F12E79"/>
    <w:rsid w:val="00F512F2"/>
    <w:rsid w:val="00F705EA"/>
    <w:rsid w:val="00F83344"/>
    <w:rsid w:val="00F871F2"/>
    <w:rsid w:val="00FA28E4"/>
    <w:rsid w:val="00FB44C2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549AC"/>
  <w15:docId w15:val="{EB8815CD-089F-469C-8736-5916E11F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pacing w:val="80"/>
        <w:position w:val="-6"/>
        <w:sz w:val="40"/>
        <w:szCs w:val="40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B55"/>
    <w:pPr>
      <w:spacing w:after="200" w:line="276" w:lineRule="auto"/>
      <w:ind w:firstLine="0"/>
      <w:jc w:val="left"/>
    </w:pPr>
    <w:rPr>
      <w:rFonts w:ascii="Calibri" w:eastAsia="Calibri" w:hAnsi="Calibri"/>
      <w:b w:val="0"/>
      <w:spacing w:val="0"/>
      <w:positio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50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0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qFormat/>
    <w:rsid w:val="00250B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B55"/>
    <w:rPr>
      <w:rFonts w:asciiTheme="majorHAnsi" w:eastAsiaTheme="majorEastAsia" w:hAnsiTheme="majorHAnsi" w:cstheme="majorBidi"/>
      <w:b w:val="0"/>
      <w:color w:val="365F91" w:themeColor="accent1" w:themeShade="BF"/>
      <w:spacing w:val="0"/>
      <w:position w:val="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50B55"/>
    <w:rPr>
      <w:rFonts w:asciiTheme="majorHAnsi" w:eastAsiaTheme="majorEastAsia" w:hAnsiTheme="majorHAnsi" w:cstheme="majorBidi"/>
      <w:b w:val="0"/>
      <w:color w:val="365F91" w:themeColor="accent1" w:themeShade="BF"/>
      <w:spacing w:val="0"/>
      <w:position w:val="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0B55"/>
    <w:rPr>
      <w:rFonts w:eastAsia="Times New Roman"/>
      <w:bCs/>
      <w:spacing w:val="0"/>
      <w:position w:val="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0B55"/>
    <w:rPr>
      <w:rFonts w:asciiTheme="majorHAnsi" w:eastAsiaTheme="majorEastAsia" w:hAnsiTheme="majorHAnsi" w:cstheme="majorBidi"/>
      <w:b w:val="0"/>
      <w:i/>
      <w:iCs/>
      <w:color w:val="365F91" w:themeColor="accent1" w:themeShade="BF"/>
      <w:spacing w:val="0"/>
      <w:position w:val="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250B55"/>
    <w:rPr>
      <w:rFonts w:eastAsia="Times New Roman"/>
      <w:bCs/>
      <w:spacing w:val="0"/>
      <w:position w:val="0"/>
      <w:sz w:val="20"/>
      <w:szCs w:val="20"/>
      <w:lang w:eastAsia="pl-PL"/>
    </w:rPr>
  </w:style>
  <w:style w:type="character" w:styleId="Hipercze">
    <w:name w:val="Hyperlink"/>
    <w:rsid w:val="00250B55"/>
    <w:rPr>
      <w:color w:val="0000FF"/>
      <w:u w:val="single"/>
    </w:rPr>
  </w:style>
  <w:style w:type="paragraph" w:customStyle="1" w:styleId="Zawartotabeli">
    <w:name w:val="Zawartość tabeli"/>
    <w:basedOn w:val="Normalny"/>
    <w:rsid w:val="00250B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,Bullet Number,List Paragraph1,lp1,List Paragraph2,ISCG Numerowanie,lp11,List Paragraph11,Bullet 1,Use Case List Paragraph,Body MS Bullet,L1,Akapit z listą5"/>
    <w:basedOn w:val="Normalny"/>
    <w:link w:val="AkapitzlistZnak"/>
    <w:uiPriority w:val="34"/>
    <w:qFormat/>
    <w:rsid w:val="00250B55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Bullet Number Znak,List Paragraph1 Znak,lp1 Znak,List Paragraph2 Znak,ISCG Numerowanie Znak,lp11 Znak,List Paragraph11 Znak,Bullet 1 Znak,Use Case List Paragraph Znak"/>
    <w:link w:val="Akapitzlist"/>
    <w:uiPriority w:val="34"/>
    <w:qFormat/>
    <w:locked/>
    <w:rsid w:val="00250B55"/>
    <w:rPr>
      <w:rFonts w:asciiTheme="minorHAnsi" w:eastAsia="Times New Roman" w:hAnsiTheme="minorHAnsi"/>
      <w:b w:val="0"/>
      <w:spacing w:val="0"/>
      <w:position w:val="0"/>
      <w:sz w:val="22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2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B55"/>
    <w:rPr>
      <w:rFonts w:ascii="Calibri" w:eastAsia="Calibri" w:hAnsi="Calibri"/>
      <w:b w:val="0"/>
      <w:spacing w:val="0"/>
      <w:positio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5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B55"/>
    <w:rPr>
      <w:rFonts w:ascii="Calibri" w:eastAsia="Calibri" w:hAnsi="Calibri"/>
      <w:b w:val="0"/>
      <w:spacing w:val="0"/>
      <w:positio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55"/>
    <w:rPr>
      <w:rFonts w:ascii="Tahoma" w:eastAsia="Calibri" w:hAnsi="Tahoma" w:cs="Tahoma"/>
      <w:b w:val="0"/>
      <w:spacing w:val="0"/>
      <w:position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50B5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55"/>
    <w:rPr>
      <w:rFonts w:ascii="Calibri" w:eastAsia="Calibri" w:hAnsi="Calibri"/>
      <w:b w:val="0"/>
      <w:spacing w:val="0"/>
      <w:positio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B55"/>
    <w:rPr>
      <w:rFonts w:ascii="Calibri" w:eastAsia="Calibri" w:hAnsi="Calibri"/>
      <w:b w:val="0"/>
      <w:bCs/>
      <w:spacing w:val="0"/>
      <w:position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0B55"/>
    <w:rPr>
      <w:b/>
      <w:bCs/>
    </w:rPr>
  </w:style>
  <w:style w:type="character" w:styleId="Uwydatnienie">
    <w:name w:val="Emphasis"/>
    <w:basedOn w:val="Domylnaczcionkaakapitu"/>
    <w:uiPriority w:val="20"/>
    <w:qFormat/>
    <w:rsid w:val="00250B55"/>
    <w:rPr>
      <w:i/>
      <w:iCs/>
    </w:rPr>
  </w:style>
  <w:style w:type="paragraph" w:customStyle="1" w:styleId="Default">
    <w:name w:val="Default"/>
    <w:rsid w:val="00250B55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eastAsia="Times New Roman" w:hAnsi="EUAlbertina" w:cs="EUAlbertina"/>
      <w:b w:val="0"/>
      <w:color w:val="000000"/>
      <w:spacing w:val="0"/>
      <w:position w:val="0"/>
      <w:sz w:val="24"/>
      <w:szCs w:val="24"/>
      <w:lang w:eastAsia="pl-PL"/>
    </w:rPr>
  </w:style>
  <w:style w:type="character" w:styleId="Odwoanieprzypisukocowego">
    <w:name w:val="endnote reference"/>
    <w:semiHidden/>
    <w:rsid w:val="00250B55"/>
    <w:rPr>
      <w:vertAlign w:val="superscript"/>
    </w:rPr>
  </w:style>
  <w:style w:type="character" w:customStyle="1" w:styleId="inline-comment-marker">
    <w:name w:val="inline-comment-marker"/>
    <w:basedOn w:val="Domylnaczcionkaakapitu"/>
    <w:rsid w:val="00250B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B55"/>
    <w:rPr>
      <w:rFonts w:ascii="Calibri" w:eastAsia="Calibri" w:hAnsi="Calibri"/>
      <w:b w:val="0"/>
      <w:spacing w:val="0"/>
      <w:position w:val="0"/>
      <w:sz w:val="20"/>
      <w:szCs w:val="20"/>
    </w:rPr>
  </w:style>
  <w:style w:type="character" w:customStyle="1" w:styleId="uicontrol">
    <w:name w:val="uicontrol"/>
    <w:basedOn w:val="Domylnaczcionkaakapitu"/>
    <w:rsid w:val="00250B55"/>
  </w:style>
  <w:style w:type="paragraph" w:customStyle="1" w:styleId="Standard">
    <w:name w:val="Standard"/>
    <w:rsid w:val="00250B55"/>
    <w:pPr>
      <w:suppressAutoHyphens/>
      <w:autoSpaceDN w:val="0"/>
      <w:spacing w:line="240" w:lineRule="auto"/>
      <w:ind w:firstLine="0"/>
      <w:jc w:val="left"/>
    </w:pPr>
    <w:rPr>
      <w:rFonts w:ascii="Liberation Serif" w:eastAsia="SimSun" w:hAnsi="Liberation Serif" w:cs="Mangal"/>
      <w:b w:val="0"/>
      <w:spacing w:val="0"/>
      <w:kern w:val="3"/>
      <w:position w:val="0"/>
      <w:sz w:val="24"/>
      <w:szCs w:val="24"/>
      <w:lang w:eastAsia="zh-CN" w:bidi="hi-IN"/>
    </w:rPr>
  </w:style>
  <w:style w:type="paragraph" w:customStyle="1" w:styleId="header5">
    <w:name w:val="header5"/>
    <w:basedOn w:val="Normalny"/>
    <w:rsid w:val="0025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0B55"/>
    <w:pPr>
      <w:spacing w:line="240" w:lineRule="auto"/>
      <w:ind w:firstLine="0"/>
      <w:jc w:val="left"/>
    </w:pPr>
    <w:rPr>
      <w:rFonts w:asciiTheme="minorHAnsi" w:hAnsiTheme="minorHAnsi" w:cstheme="minorBidi"/>
      <w:b w:val="0"/>
      <w:spacing w:val="0"/>
      <w:positio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250B5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50B55"/>
    <w:rPr>
      <w:rFonts w:eastAsia="Lucida Sans Unicode"/>
      <w:b w:val="0"/>
      <w:spacing w:val="0"/>
      <w:kern w:val="1"/>
      <w:position w:val="0"/>
      <w:sz w:val="24"/>
      <w:szCs w:val="20"/>
    </w:rPr>
  </w:style>
  <w:style w:type="character" w:customStyle="1" w:styleId="A6">
    <w:name w:val="A6"/>
    <w:uiPriority w:val="99"/>
    <w:rsid w:val="00250B55"/>
    <w:rPr>
      <w:rFonts w:cs="Myriad Pro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50B55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250B55"/>
    <w:pPr>
      <w:spacing w:line="13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250B55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250B55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0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0B55"/>
    <w:rPr>
      <w:rFonts w:ascii="Courier New" w:eastAsia="Times New Roman" w:hAnsi="Courier New" w:cs="Courier New"/>
      <w:b w:val="0"/>
      <w:spacing w:val="0"/>
      <w:positio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50B55"/>
  </w:style>
  <w:style w:type="paragraph" w:customStyle="1" w:styleId="Pa35">
    <w:name w:val="Pa35"/>
    <w:basedOn w:val="Default"/>
    <w:next w:val="Default"/>
    <w:uiPriority w:val="99"/>
    <w:rsid w:val="00250B55"/>
    <w:pPr>
      <w:spacing w:line="16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spectitle">
    <w:name w:val="spectitle"/>
    <w:basedOn w:val="Domylnaczcionkaakapitu"/>
    <w:rsid w:val="00250B55"/>
  </w:style>
  <w:style w:type="paragraph" w:styleId="Bezodstpw">
    <w:name w:val="No Spacing"/>
    <w:uiPriority w:val="1"/>
    <w:qFormat/>
    <w:rsid w:val="00250B55"/>
    <w:pPr>
      <w:spacing w:line="240" w:lineRule="auto"/>
      <w:ind w:firstLine="0"/>
      <w:jc w:val="left"/>
    </w:pPr>
    <w:rPr>
      <w:rFonts w:asciiTheme="minorHAnsi" w:hAnsiTheme="minorHAnsi" w:cstheme="minorBidi"/>
      <w:b w:val="0"/>
      <w:spacing w:val="0"/>
      <w:position w:val="0"/>
      <w:sz w:val="22"/>
      <w:szCs w:val="22"/>
      <w:lang w:val="en-US"/>
    </w:rPr>
  </w:style>
  <w:style w:type="paragraph" w:customStyle="1" w:styleId="xmsonormal">
    <w:name w:val="x_msonormal"/>
    <w:basedOn w:val="Normalny"/>
    <w:rsid w:val="00250B5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5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bedded">
    <w:name w:val="embedded"/>
    <w:basedOn w:val="Normalny"/>
    <w:rsid w:val="0025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11Konspektnumerowany">
    <w:name w:val="1.1.1 Konspektnumerowany"/>
    <w:basedOn w:val="Normalny"/>
    <w:rsid w:val="00250B55"/>
    <w:pPr>
      <w:widowControl w:val="0"/>
      <w:suppressAutoHyphens/>
      <w:autoSpaceDE w:val="0"/>
      <w:autoSpaceDN w:val="0"/>
      <w:spacing w:before="160" w:after="0" w:line="240" w:lineRule="auto"/>
      <w:textAlignment w:val="baseline"/>
    </w:pPr>
    <w:rPr>
      <w:rFonts w:ascii="Liberation Serif" w:eastAsia="Times New Roman" w:hAnsi="Liberation Serif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Bezlisty"/>
    <w:rsid w:val="00250B55"/>
    <w:pPr>
      <w:numPr>
        <w:numId w:val="8"/>
      </w:numPr>
    </w:pPr>
  </w:style>
  <w:style w:type="paragraph" w:customStyle="1" w:styleId="pchartbodycmt">
    <w:name w:val="pchart_bodycmt"/>
    <w:basedOn w:val="Normalny"/>
    <w:rsid w:val="0025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unhideWhenUsed/>
    <w:rsid w:val="00250B55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specinfo">
    <w:name w:val="specinfo"/>
    <w:basedOn w:val="Domylnaczcionkaakapitu"/>
    <w:rsid w:val="00250B55"/>
  </w:style>
  <w:style w:type="paragraph" w:styleId="Zwykytekst">
    <w:name w:val="Plain Text"/>
    <w:basedOn w:val="Normalny"/>
    <w:link w:val="ZwykytekstZnak"/>
    <w:uiPriority w:val="99"/>
    <w:semiHidden/>
    <w:unhideWhenUsed/>
    <w:rsid w:val="00250B5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0B55"/>
    <w:rPr>
      <w:rFonts w:ascii="Calibri" w:hAnsi="Calibri" w:cstheme="minorBidi"/>
      <w:b w:val="0"/>
      <w:spacing w:val="0"/>
      <w:positio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at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ergystar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CA52B-A899-4C8E-B05B-85CEF369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Sowa</cp:lastModifiedBy>
  <cp:revision>5</cp:revision>
  <dcterms:created xsi:type="dcterms:W3CDTF">2023-06-01T10:46:00Z</dcterms:created>
  <dcterms:modified xsi:type="dcterms:W3CDTF">2023-06-16T05:41:00Z</dcterms:modified>
</cp:coreProperties>
</file>